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38D" w:rsidRDefault="004C3085">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 xml:space="preserve">附件1： </w:t>
      </w:r>
    </w:p>
    <w:p w:rsidR="00C9538D" w:rsidRDefault="00C9538D">
      <w:pPr>
        <w:spacing w:line="540" w:lineRule="exact"/>
        <w:rPr>
          <w:rFonts w:ascii="方正小标宋_GBK" w:eastAsia="方正小标宋_GBK" w:hAnsi="宋体"/>
          <w:sz w:val="44"/>
          <w:szCs w:val="44"/>
        </w:rPr>
      </w:pPr>
    </w:p>
    <w:p w:rsidR="00C9538D" w:rsidRDefault="004C3085">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2018年度新疆喀什地区英吉沙县龙甫乡中学部门决算</w:t>
      </w:r>
    </w:p>
    <w:p w:rsidR="00C9538D" w:rsidRDefault="004C3085">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C9538D" w:rsidRDefault="00C9538D">
      <w:pPr>
        <w:spacing w:line="540" w:lineRule="exact"/>
        <w:rPr>
          <w:rFonts w:ascii="仿宋_GB2312" w:eastAsia="仿宋_GB2312" w:hAnsi="宋体"/>
          <w:sz w:val="32"/>
          <w:szCs w:val="32"/>
        </w:rPr>
      </w:pPr>
    </w:p>
    <w:p w:rsidR="00C9538D" w:rsidRDefault="004C3085">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C9538D" w:rsidRDefault="00C9538D">
      <w:pPr>
        <w:spacing w:line="540" w:lineRule="exact"/>
        <w:rPr>
          <w:rFonts w:ascii="仿宋_GB2312" w:eastAsia="仿宋_GB2312" w:hAnsi="宋体"/>
          <w:b/>
          <w:kern w:val="0"/>
          <w:sz w:val="32"/>
          <w:szCs w:val="32"/>
        </w:rPr>
      </w:pPr>
    </w:p>
    <w:p w:rsidR="00C9538D" w:rsidRDefault="004C3085">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C9538D" w:rsidRDefault="004C3085">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C9538D" w:rsidRDefault="004C3085">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C9538D" w:rsidRDefault="004C3085">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C9538D" w:rsidRDefault="004C3085">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C9538D" w:rsidRDefault="004C3085">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C9538D" w:rsidRDefault="004C3085">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C9538D" w:rsidRDefault="004C3085">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C9538D" w:rsidRDefault="004C3085">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C9538D" w:rsidRDefault="00C9538D">
      <w:pPr>
        <w:spacing w:line="540" w:lineRule="exact"/>
        <w:ind w:firstLineChars="200" w:firstLine="640"/>
        <w:rPr>
          <w:rFonts w:ascii="黑体" w:eastAsia="黑体" w:hAnsi="黑体"/>
          <w:sz w:val="32"/>
          <w:szCs w:val="32"/>
        </w:rPr>
      </w:pPr>
    </w:p>
    <w:p w:rsidR="00C9538D" w:rsidRDefault="004C3085">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C9538D" w:rsidRDefault="004C3085">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C9538D" w:rsidRDefault="004C3085">
      <w:pPr>
        <w:spacing w:line="500" w:lineRule="exact"/>
        <w:rPr>
          <w:rFonts w:ascii="黑体" w:eastAsia="黑体" w:hAnsi="黑体" w:cs="宋体"/>
          <w:bCs/>
          <w:kern w:val="0"/>
          <w:sz w:val="32"/>
          <w:szCs w:val="32"/>
        </w:rPr>
      </w:pPr>
      <w:r>
        <w:rPr>
          <w:rFonts w:ascii="仿宋_GB2312" w:eastAsia="仿宋_GB2312" w:hint="eastAsia"/>
          <w:sz w:val="32"/>
          <w:szCs w:val="32"/>
        </w:rPr>
        <w:t xml:space="preserve">    1、负责贯彻党的教育方针，坚持社会主义办学方向，对学生进行德育、智育、体育、美育和劳动教育等方面的教育。</w:t>
      </w:r>
      <w:r>
        <w:rPr>
          <w:rFonts w:ascii="仿宋_GB2312" w:eastAsia="仿宋_GB2312" w:hint="eastAsia"/>
          <w:sz w:val="32"/>
          <w:szCs w:val="32"/>
        </w:rPr>
        <w:br/>
        <w:t xml:space="preserve">    2、负责配合各级人民政府依法动员适龄儿童、少年接受九年义务教育。</w:t>
      </w:r>
      <w:r>
        <w:rPr>
          <w:rFonts w:ascii="仿宋_GB2312" w:eastAsia="仿宋_GB2312" w:hint="eastAsia"/>
          <w:sz w:val="32"/>
          <w:szCs w:val="32"/>
        </w:rPr>
        <w:br/>
        <w:t xml:space="preserve">    3、负责制定学校教育发展规划，并抓好组织实施和落实工作。</w:t>
      </w:r>
      <w:r>
        <w:rPr>
          <w:rFonts w:ascii="仿宋_GB2312" w:eastAsia="仿宋_GB2312" w:hint="eastAsia"/>
          <w:sz w:val="32"/>
          <w:szCs w:val="32"/>
        </w:rPr>
        <w:br/>
        <w:t xml:space="preserve">    4、负责按照教育主管部门发布的指导性教学计划、教学大纲，组织实施教育教学活动。</w:t>
      </w:r>
      <w:r>
        <w:rPr>
          <w:rFonts w:ascii="仿宋_GB2312" w:eastAsia="仿宋_GB2312" w:hint="eastAsia"/>
          <w:sz w:val="32"/>
          <w:szCs w:val="32"/>
        </w:rPr>
        <w:br/>
      </w:r>
      <w:r>
        <w:rPr>
          <w:rFonts w:ascii="仿宋_GB2312" w:eastAsia="仿宋_GB2312" w:hint="eastAsia"/>
          <w:sz w:val="32"/>
          <w:szCs w:val="32"/>
        </w:rPr>
        <w:lastRenderedPageBreak/>
        <w:t xml:space="preserve">    5、负责依据国家主管部门有关教学计划、课程设置等方面的规定，决定和实施本校的教学计划，组织教学评比、集体备课，对学生进行统一考核、考试等。</w:t>
      </w:r>
      <w:r>
        <w:rPr>
          <w:rFonts w:ascii="仿宋_GB2312" w:eastAsia="仿宋_GB2312" w:hint="eastAsia"/>
          <w:sz w:val="32"/>
          <w:szCs w:val="32"/>
        </w:rPr>
        <w:br/>
        <w:t xml:space="preserve">    6、负责学籍管理。</w:t>
      </w:r>
      <w:r>
        <w:rPr>
          <w:rFonts w:ascii="仿宋_GB2312" w:eastAsia="仿宋_GB2312" w:hint="eastAsia"/>
          <w:sz w:val="32"/>
          <w:szCs w:val="32"/>
        </w:rPr>
        <w:br/>
        <w:t xml:space="preserve">    7、负责聘任、培训、考核教师，依法奖励或处分有关教师和职工。</w:t>
      </w:r>
      <w:r>
        <w:rPr>
          <w:rFonts w:ascii="仿宋_GB2312" w:eastAsia="仿宋_GB2312" w:hint="eastAsia"/>
          <w:sz w:val="32"/>
          <w:szCs w:val="32"/>
        </w:rPr>
        <w:br/>
        <w:t xml:space="preserve">    8、负责科学管理、合理使用学校的设施和经费，并积极筹措资金改善办学条件。</w:t>
      </w:r>
      <w:r>
        <w:rPr>
          <w:rFonts w:ascii="仿宋_GB2312" w:eastAsia="仿宋_GB2312" w:hint="eastAsia"/>
          <w:sz w:val="32"/>
          <w:szCs w:val="32"/>
        </w:rPr>
        <w:br/>
        <w:t xml:space="preserve">    9、负责维护学校、学生的合法权益，有权拒绝任何组织和个人对教育教学活动非法干涉，依法接受各级教育行政部门和人民群众的监督。 </w:t>
      </w:r>
    </w:p>
    <w:p w:rsidR="00C9538D" w:rsidRDefault="004C3085">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C9538D" w:rsidRDefault="004C3085">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新疆喀什地区英吉沙县龙甫乡中学</w:t>
      </w:r>
      <w:r>
        <w:rPr>
          <w:rFonts w:ascii="仿宋_GB2312" w:eastAsia="仿宋_GB2312" w:hint="eastAsia"/>
          <w:sz w:val="32"/>
          <w:szCs w:val="32"/>
        </w:rPr>
        <w:t>部门决算包括：</w:t>
      </w:r>
      <w:r>
        <w:rPr>
          <w:rFonts w:ascii="仿宋_GB2312" w:eastAsia="仿宋_GB2312"/>
          <w:sz w:val="32"/>
          <w:szCs w:val="32"/>
        </w:rPr>
        <w:t>新疆喀什地区英吉沙县龙甫乡中学</w:t>
      </w:r>
      <w:r>
        <w:rPr>
          <w:rFonts w:ascii="仿宋_GB2312" w:eastAsia="仿宋_GB2312" w:hint="eastAsia"/>
          <w:sz w:val="32"/>
          <w:szCs w:val="32"/>
        </w:rPr>
        <w:t>部门本级决算、所属单位决算等。</w:t>
      </w:r>
    </w:p>
    <w:p w:rsidR="00C9538D" w:rsidRDefault="004C3085">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新疆喀什地区英吉沙县龙甫乡中学</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4"/>
    </w:p>
    <w:p w:rsidR="00C9538D" w:rsidRDefault="00C9538D">
      <w:pPr>
        <w:spacing w:line="540" w:lineRule="exact"/>
        <w:ind w:firstLineChars="200" w:firstLine="616"/>
        <w:rPr>
          <w:rFonts w:ascii="仿宋_GB2312" w:eastAsia="仿宋_GB2312"/>
          <w:spacing w:val="-6"/>
          <w:sz w:val="32"/>
          <w:szCs w:val="32"/>
        </w:rPr>
      </w:pPr>
    </w:p>
    <w:p w:rsidR="00C9538D" w:rsidRDefault="00C9538D">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C9538D">
        <w:trPr>
          <w:trHeight w:hRule="exact" w:val="510"/>
        </w:trPr>
        <w:tc>
          <w:tcPr>
            <w:tcW w:w="3056" w:type="dxa"/>
            <w:vAlign w:val="center"/>
          </w:tcPr>
          <w:p w:rsidR="00C9538D" w:rsidRDefault="004C3085">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C9538D" w:rsidRDefault="004C3085">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C9538D" w:rsidRDefault="004C3085">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C9538D">
        <w:tc>
          <w:tcPr>
            <w:tcW w:w="3056" w:type="dxa"/>
          </w:tcPr>
          <w:p w:rsidR="00C9538D" w:rsidRDefault="004C3085">
            <w:pPr>
              <w:spacing w:line="500" w:lineRule="exact"/>
              <w:ind w:firstLineChars="200" w:firstLine="640"/>
              <w:jc w:val="left"/>
            </w:pPr>
            <w:r>
              <w:rPr>
                <w:rFonts w:eastAsia="Times New Roman"/>
                <w:color w:val="000000"/>
                <w:position w:val="-1"/>
                <w:sz w:val="32"/>
              </w:rPr>
              <w:t>1</w:t>
            </w:r>
          </w:p>
        </w:tc>
        <w:tc>
          <w:tcPr>
            <w:tcW w:w="3870" w:type="dxa"/>
          </w:tcPr>
          <w:p w:rsidR="00C9538D" w:rsidRDefault="004C3085">
            <w:pPr>
              <w:spacing w:line="500" w:lineRule="exact"/>
              <w:ind w:firstLineChars="200" w:firstLine="640"/>
              <w:jc w:val="left"/>
            </w:pPr>
            <w:proofErr w:type="spellStart"/>
            <w:r>
              <w:rPr>
                <w:rFonts w:eastAsia="Times New Roman"/>
                <w:color w:val="000000"/>
                <w:position w:val="-1"/>
                <w:sz w:val="32"/>
              </w:rPr>
              <w:t>新疆喀什地区英吉沙县龙甫乡中学</w:t>
            </w:r>
            <w:proofErr w:type="spellEnd"/>
          </w:p>
        </w:tc>
        <w:tc>
          <w:tcPr>
            <w:tcW w:w="2538" w:type="dxa"/>
            <w:vAlign w:val="center"/>
          </w:tcPr>
          <w:p w:rsidR="00C9538D" w:rsidRDefault="00C9538D">
            <w:pPr>
              <w:spacing w:line="500" w:lineRule="exact"/>
              <w:ind w:firstLineChars="200" w:firstLine="420"/>
              <w:jc w:val="left"/>
            </w:pPr>
          </w:p>
        </w:tc>
      </w:tr>
    </w:tbl>
    <w:p w:rsidR="00C9538D" w:rsidRDefault="00C9538D">
      <w:pPr>
        <w:spacing w:line="500" w:lineRule="exact"/>
        <w:rPr>
          <w:rFonts w:ascii="仿宋_GB2312" w:eastAsia="仿宋_GB2312" w:hAnsi="宋体" w:cs="宋体"/>
          <w:kern w:val="0"/>
          <w:sz w:val="32"/>
          <w:szCs w:val="32"/>
        </w:rPr>
      </w:pPr>
    </w:p>
    <w:p w:rsidR="00C9538D" w:rsidRDefault="00C9538D">
      <w:pPr>
        <w:spacing w:line="500" w:lineRule="exact"/>
        <w:rPr>
          <w:rFonts w:ascii="仿宋_GB2312" w:eastAsia="仿宋_GB2312" w:hAnsi="宋体" w:cs="宋体"/>
          <w:kern w:val="0"/>
          <w:sz w:val="32"/>
          <w:szCs w:val="32"/>
        </w:rPr>
      </w:pPr>
    </w:p>
    <w:p w:rsidR="00C9538D" w:rsidRDefault="004C3085">
      <w:pPr>
        <w:spacing w:line="540" w:lineRule="exact"/>
        <w:jc w:val="center"/>
        <w:rPr>
          <w:rFonts w:ascii="黑体" w:eastAsia="黑体" w:hAnsi="黑体"/>
          <w:sz w:val="32"/>
          <w:szCs w:val="32"/>
        </w:rPr>
      </w:pPr>
      <w:r>
        <w:rPr>
          <w:rFonts w:ascii="黑体" w:eastAsia="黑体" w:hAnsi="黑体" w:hint="eastAsia"/>
          <w:sz w:val="32"/>
          <w:szCs w:val="32"/>
        </w:rPr>
        <w:lastRenderedPageBreak/>
        <w:t>第二部分 部门决算情况说明</w:t>
      </w:r>
    </w:p>
    <w:p w:rsidR="00C9538D" w:rsidRDefault="004C3085">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C9538D" w:rsidRDefault="004C308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C9538D" w:rsidRDefault="004C3085">
      <w:pPr>
        <w:spacing w:line="540" w:lineRule="exact"/>
        <w:ind w:firstLineChars="200" w:firstLine="640"/>
        <w:rPr>
          <w:rFonts w:ascii="仿宋_GB2312" w:eastAsia="仿宋_GB2312" w:hAnsi="Calibri"/>
          <w:color w:val="000000" w:themeColor="text1"/>
          <w:sz w:val="32"/>
          <w:szCs w:val="32"/>
          <w:lang w:val="en-GB"/>
        </w:rPr>
      </w:pPr>
      <w:bookmarkStart w:id="5" w:name="OLE_LINK99"/>
      <w:bookmarkStart w:id="6" w:name="OLE_LINK100"/>
      <w:bookmarkStart w:id="7"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618.89</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，与上年相比，减少3.44万元，下降0.55%，减少的主要原因是：</w:t>
      </w:r>
      <w:r>
        <w:rPr>
          <w:rFonts w:ascii="仿宋_GB2312" w:eastAsia="仿宋_GB2312" w:hint="eastAsia"/>
          <w:color w:val="000000" w:themeColor="text1"/>
          <w:sz w:val="32"/>
          <w:szCs w:val="32"/>
        </w:rPr>
        <w:t>学校合并，生活补助未下达；</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618.6</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，与上年相比，减少3.73万元，下降0.6%，减少的主要原因是：</w:t>
      </w:r>
      <w:r>
        <w:rPr>
          <w:rFonts w:ascii="仿宋_GB2312" w:eastAsia="仿宋_GB2312" w:hint="eastAsia"/>
          <w:color w:val="000000" w:themeColor="text1"/>
          <w:sz w:val="32"/>
          <w:szCs w:val="32"/>
        </w:rPr>
        <w:t>学校合并，生活补助未下达；</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0.29</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，与上年相比，增加0.29万元，增长100%，增加的主要原因是：</w:t>
      </w:r>
      <w:r>
        <w:rPr>
          <w:rFonts w:ascii="仿宋_GB2312" w:eastAsia="仿宋_GB2312"/>
          <w:color w:val="000000" w:themeColor="text1"/>
          <w:sz w:val="32"/>
          <w:szCs w:val="32"/>
        </w:rPr>
        <w:t>剩余部分结余用于来年经费到达前学校的运转支出。</w:t>
      </w:r>
      <w:bookmarkEnd w:id="9"/>
    </w:p>
    <w:p w:rsidR="00C9538D" w:rsidRDefault="004C308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C9538D" w:rsidRDefault="004C3085">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618.89</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618.89</w:t>
      </w:r>
      <w:r>
        <w:rPr>
          <w:rFonts w:ascii="仿宋_GB2312" w:eastAsia="仿宋_GB2312" w:hint="eastAsia"/>
          <w:color w:val="000000" w:themeColor="text1"/>
          <w:sz w:val="32"/>
          <w:szCs w:val="32"/>
        </w:rPr>
        <w:t>万元，占</w:t>
      </w:r>
      <w:r>
        <w:rPr>
          <w:rFonts w:ascii="仿宋_GB2312" w:eastAsia="仿宋_GB2312" w:hint="eastAsia"/>
          <w:sz w:val="32"/>
          <w:szCs w:val="32"/>
        </w:rPr>
        <w:t>100%</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C9538D" w:rsidRDefault="004C3085">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况：本年收入年初预算数595.26万元</w:t>
      </w:r>
      <w:r>
        <w:rPr>
          <w:rFonts w:ascii="仿宋_GB2312" w:eastAsia="仿宋_GB2312" w:hint="eastAsia"/>
          <w:sz w:val="32"/>
          <w:szCs w:val="32"/>
        </w:rPr>
        <w:t>，决算数618.89万元</w:t>
      </w:r>
      <w:r>
        <w:rPr>
          <w:rFonts w:ascii="仿宋_GB2312" w:eastAsia="仿宋_GB2312"/>
          <w:sz w:val="32"/>
          <w:szCs w:val="32"/>
        </w:rPr>
        <w:t>，预决算差异率3.97%，差异主要原因是教师工资上调。</w:t>
      </w:r>
      <w:bookmarkEnd w:id="16"/>
    </w:p>
    <w:p w:rsidR="00C9538D" w:rsidRDefault="004C308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C9538D" w:rsidRDefault="004C3085">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618.6</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596.76</w:t>
      </w:r>
      <w:r>
        <w:rPr>
          <w:rFonts w:ascii="仿宋_GB2312" w:eastAsia="仿宋_GB2312" w:hint="eastAsia"/>
          <w:color w:val="000000" w:themeColor="text1"/>
          <w:sz w:val="32"/>
          <w:szCs w:val="32"/>
        </w:rPr>
        <w:t>万元，占</w:t>
      </w:r>
      <w:r>
        <w:rPr>
          <w:rFonts w:ascii="仿宋_GB2312" w:eastAsia="仿宋_GB2312" w:hint="eastAsia"/>
          <w:sz w:val="32"/>
          <w:szCs w:val="32"/>
        </w:rPr>
        <w:t>96.47%</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21.85</w:t>
      </w:r>
      <w:r>
        <w:rPr>
          <w:rFonts w:ascii="仿宋_GB2312" w:eastAsia="仿宋_GB2312" w:hint="eastAsia"/>
          <w:color w:val="000000" w:themeColor="text1"/>
          <w:sz w:val="32"/>
          <w:szCs w:val="32"/>
        </w:rPr>
        <w:t>万元，占</w:t>
      </w:r>
      <w:r>
        <w:rPr>
          <w:rFonts w:ascii="仿宋_GB2312" w:eastAsia="仿宋_GB2312" w:hint="eastAsia"/>
          <w:sz w:val="32"/>
          <w:szCs w:val="32"/>
        </w:rPr>
        <w:t>3.53%</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C9538D" w:rsidRDefault="004C3085">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与年初预算数相比情况：本年支出年初预算数595.26万元，</w:t>
      </w:r>
      <w:r>
        <w:rPr>
          <w:rFonts w:ascii="仿宋_GB2312" w:eastAsia="仿宋_GB2312" w:hint="eastAsia"/>
          <w:sz w:val="32"/>
          <w:szCs w:val="32"/>
        </w:rPr>
        <w:t>决算数618.6万元</w:t>
      </w:r>
      <w:r>
        <w:rPr>
          <w:rFonts w:ascii="仿宋_GB2312" w:eastAsia="仿宋_GB2312"/>
          <w:sz w:val="32"/>
          <w:szCs w:val="32"/>
        </w:rPr>
        <w:t>，预决算差异率3.92%，差异主要原因是教师工资</w:t>
      </w:r>
      <w:r>
        <w:rPr>
          <w:rFonts w:ascii="仿宋_GB2312" w:eastAsia="仿宋_GB2312"/>
          <w:sz w:val="32"/>
          <w:szCs w:val="32"/>
        </w:rPr>
        <w:lastRenderedPageBreak/>
        <w:t>上调。</w:t>
      </w:r>
    </w:p>
    <w:bookmarkEnd w:id="23"/>
    <w:p w:rsidR="00C9538D" w:rsidRDefault="004C3085">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C9538D" w:rsidRDefault="004C308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C9538D" w:rsidRDefault="004C3085">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618.89</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，与上年相比，减少3.44万元，下降0.55%，减少的主要原因是：学校合并，生活补助未下达。</w:t>
      </w:r>
      <w:bookmarkStart w:id="27" w:name="OLE_LINK14"/>
      <w:bookmarkStart w:id="28" w:name="OLE_LINK60"/>
      <w:bookmarkStart w:id="29" w:name="OLE_LINK59"/>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618.6</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，与上年相比，减少3.73万元，下降0.6%，减少的主要原因是：</w:t>
      </w:r>
      <w:r>
        <w:rPr>
          <w:rFonts w:ascii="仿宋_GB2312" w:eastAsia="仿宋_GB2312"/>
          <w:sz w:val="32"/>
          <w:szCs w:val="32"/>
        </w:rPr>
        <w:t>学校合并，生活补助未下达。</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596.76</w:t>
      </w:r>
      <w:r>
        <w:rPr>
          <w:rFonts w:ascii="仿宋_GB2312" w:eastAsia="仿宋_GB2312" w:hint="eastAsia"/>
          <w:color w:val="000000" w:themeColor="text1"/>
          <w:sz w:val="32"/>
          <w:szCs w:val="32"/>
        </w:rPr>
        <w:t>万元，项目支出</w:t>
      </w:r>
      <w:r>
        <w:rPr>
          <w:rFonts w:ascii="仿宋_GB2312" w:eastAsia="仿宋_GB2312" w:hint="eastAsia"/>
          <w:sz w:val="32"/>
          <w:szCs w:val="32"/>
        </w:rPr>
        <w:t>21.85</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0.29</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，与上年相比，增加0.29万元，增长100%，增加的主要原因是：剩余部分结余用于来年经费到达前学校的运转支出。</w:t>
      </w:r>
      <w:bookmarkEnd w:id="30"/>
    </w:p>
    <w:p w:rsidR="00C9538D" w:rsidRDefault="004C3085">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595.26</w:t>
      </w:r>
      <w:r>
        <w:rPr>
          <w:rFonts w:ascii="仿宋_GB2312" w:eastAsia="仿宋_GB2312" w:hint="eastAsia"/>
          <w:color w:val="000000" w:themeColor="text1"/>
          <w:sz w:val="32"/>
          <w:szCs w:val="32"/>
        </w:rPr>
        <w:t>万元，决算数</w:t>
      </w:r>
      <w:r>
        <w:rPr>
          <w:rFonts w:ascii="仿宋_GB2312" w:eastAsia="仿宋_GB2312" w:hint="eastAsia"/>
          <w:sz w:val="32"/>
          <w:szCs w:val="32"/>
        </w:rPr>
        <w:t>618.89</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，预决算差异率3.97%，差异主要原因是教师工资上调。</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595.26</w:t>
      </w:r>
      <w:r>
        <w:rPr>
          <w:rFonts w:ascii="仿宋_GB2312" w:eastAsia="仿宋_GB2312" w:hint="eastAsia"/>
          <w:color w:val="000000" w:themeColor="text1"/>
          <w:sz w:val="32"/>
          <w:szCs w:val="32"/>
        </w:rPr>
        <w:t>万元，决算数</w:t>
      </w:r>
      <w:r>
        <w:rPr>
          <w:rFonts w:ascii="仿宋_GB2312" w:eastAsia="仿宋_GB2312" w:hint="eastAsia"/>
          <w:sz w:val="32"/>
          <w:szCs w:val="32"/>
        </w:rPr>
        <w:t>618.6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，预决算差异率3.92%，差异主要原因是教师工资上调。</w:t>
      </w:r>
      <w:bookmarkEnd w:id="34"/>
    </w:p>
    <w:p w:rsidR="00C9538D" w:rsidRDefault="004C308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C9538D" w:rsidRDefault="004C3085">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618.89</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，与上年相比，减少3.44万元，下降0.55%，减少的主要原因是：学校合并，生活补助未下达。</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618.6</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，与上年相比，减少3.73万元，下降0.6%，减少的主要原因是：学校合并，生活补助未下达。</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教育支出550.88万元,社会保障和就业支出67.72万元。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工资福利支出590.21万元,商品和服务支出9.43万元,对个人和家庭的补助18.97万元。</w:t>
      </w:r>
    </w:p>
    <w:p w:rsidR="00C9538D" w:rsidRDefault="004C3085">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lastRenderedPageBreak/>
        <w:t>与年初预算数相比情况：一般公共预算财政拨款收入年初预算数</w:t>
      </w:r>
      <w:r>
        <w:rPr>
          <w:rFonts w:ascii="仿宋_GB2312" w:eastAsia="仿宋_GB2312"/>
          <w:color w:val="000000" w:themeColor="text1"/>
          <w:sz w:val="32"/>
          <w:szCs w:val="32"/>
        </w:rPr>
        <w:t>595.26</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618.89</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，预决算差异率3.97%，差异主要原因是教师工资上调。</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595.26</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618.6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，预决算差异率3.92%，差异主要原因是教师工资上调。</w:t>
      </w:r>
      <w:bookmarkEnd w:id="44"/>
    </w:p>
    <w:p w:rsidR="00C9538D" w:rsidRDefault="004C308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4C3085" w:rsidRDefault="004C3085" w:rsidP="004C3085">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政府性基金预算财政拨款收入0万元，与上年相比，增加0万元，增长0%。增减变化的主要原因是：本年无政府性基金预算财政拨款收入。政府性基金预算支出0万元。与上年相比，增加0万元，增长0%。增减变化的主要原因是：本年无政府性基金预算财政拨款收入。其中：按功能分类科目（</w:t>
      </w:r>
      <w:r>
        <w:rPr>
          <w:rFonts w:ascii="仿宋_GB2312" w:eastAsia="仿宋_GB2312" w:hint="eastAsia"/>
          <w:color w:val="000000"/>
          <w:sz w:val="32"/>
          <w:szCs w:val="32"/>
        </w:rPr>
        <w:t>按类级科目公开</w:t>
      </w:r>
      <w:r>
        <w:rPr>
          <w:rFonts w:ascii="仿宋_GB2312" w:eastAsia="仿宋_GB2312" w:hint="eastAsia"/>
          <w:sz w:val="32"/>
          <w:szCs w:val="32"/>
        </w:rPr>
        <w:t>），无政府性基金收支。按经济分类科目（</w:t>
      </w:r>
      <w:r>
        <w:rPr>
          <w:rFonts w:ascii="仿宋_GB2312" w:eastAsia="仿宋_GB2312" w:hint="eastAsia"/>
          <w:color w:val="000000"/>
          <w:sz w:val="32"/>
          <w:szCs w:val="32"/>
        </w:rPr>
        <w:t>按类级科目公开</w:t>
      </w:r>
      <w:r>
        <w:rPr>
          <w:rFonts w:ascii="仿宋_GB2312" w:eastAsia="仿宋_GB2312" w:hint="eastAsia"/>
          <w:sz w:val="32"/>
          <w:szCs w:val="32"/>
        </w:rPr>
        <w:t>），无政府性基金收支</w:t>
      </w:r>
      <w:r>
        <w:rPr>
          <w:rFonts w:ascii="仿宋_GB2312" w:eastAsia="仿宋_GB2312" w:hint="eastAsia"/>
          <w:color w:val="000000"/>
          <w:sz w:val="32"/>
          <w:szCs w:val="32"/>
        </w:rPr>
        <w:t>。</w:t>
      </w:r>
    </w:p>
    <w:p w:rsidR="004C3085" w:rsidRDefault="004C3085" w:rsidP="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与年初预算数相比情况：政府性基金预算财政拨款收入年初预算数0万元，决算数0万元，预决算差异率0%，差异主要原因本年无政府性基金预算财政拨款收入。政府性基金预算财政拨款支出年初预算数0万元，决算数0万元，预决算差异率0%，差异主要原因本年政府性基金预算支出。</w:t>
      </w:r>
    </w:p>
    <w:p w:rsidR="00C9538D" w:rsidRDefault="004C3085">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C9538D" w:rsidRDefault="004C3085">
      <w:pPr>
        <w:spacing w:line="540" w:lineRule="exact"/>
        <w:ind w:firstLineChars="200" w:firstLine="640"/>
        <w:rPr>
          <w:rFonts w:ascii="仿宋_GB2312" w:eastAsia="仿宋_GB2312"/>
          <w:color w:val="000000" w:themeColor="text1"/>
          <w:sz w:val="32"/>
          <w:szCs w:val="32"/>
        </w:rPr>
      </w:pPr>
      <w:bookmarkStart w:id="45" w:name="OLE_LINK25"/>
      <w:bookmarkStart w:id="46" w:name="OLE_LINK26"/>
      <w:r>
        <w:rPr>
          <w:rFonts w:ascii="仿宋_GB2312" w:eastAsia="仿宋_GB2312" w:hint="eastAsia"/>
          <w:color w:val="000000" w:themeColor="text1"/>
          <w:sz w:val="32"/>
          <w:szCs w:val="32"/>
        </w:rPr>
        <w:t>年末结转结余</w:t>
      </w:r>
      <w:bookmarkEnd w:id="45"/>
      <w:bookmarkEnd w:id="46"/>
      <w:r>
        <w:rPr>
          <w:rFonts w:ascii="仿宋_GB2312" w:eastAsia="仿宋_GB2312" w:hint="eastAsia"/>
          <w:sz w:val="32"/>
          <w:szCs w:val="32"/>
        </w:rPr>
        <w:t>0.29</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。与上年相比，增加0.29万元，增长100%</w:t>
      </w:r>
      <w:r>
        <w:rPr>
          <w:rFonts w:ascii="仿宋_GB2312" w:eastAsia="仿宋_GB2312" w:hint="eastAsia"/>
          <w:color w:val="000000" w:themeColor="text1"/>
          <w:sz w:val="32"/>
          <w:szCs w:val="32"/>
        </w:rPr>
        <w:t>。</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47" w:name="OLE_LINK27"/>
      <w:bookmarkStart w:id="48" w:name="OLE_LINK28"/>
      <w:r>
        <w:rPr>
          <w:rFonts w:ascii="仿宋_GB2312" w:eastAsia="仿宋_GB2312" w:hint="eastAsia"/>
          <w:color w:val="000000" w:themeColor="text1"/>
          <w:sz w:val="32"/>
          <w:szCs w:val="32"/>
        </w:rPr>
        <w:t>财政拨款结转结余</w:t>
      </w:r>
      <w:bookmarkEnd w:id="47"/>
      <w:bookmarkEnd w:id="48"/>
      <w:r>
        <w:rPr>
          <w:rFonts w:ascii="仿宋_GB2312" w:eastAsia="仿宋_GB2312" w:hint="eastAsia"/>
          <w:sz w:val="32"/>
          <w:szCs w:val="32"/>
        </w:rPr>
        <w:t>0.29</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。与上年相比，增加0.29万元，增长100%。</w:t>
      </w:r>
    </w:p>
    <w:p w:rsidR="00C9538D" w:rsidRDefault="004C3085">
      <w:pPr>
        <w:spacing w:line="540" w:lineRule="exact"/>
        <w:ind w:firstLineChars="200" w:firstLine="640"/>
        <w:rPr>
          <w:rFonts w:ascii="黑体" w:eastAsia="黑体" w:hAnsi="黑体"/>
          <w:sz w:val="32"/>
          <w:szCs w:val="32"/>
        </w:rPr>
      </w:pPr>
      <w:r>
        <w:rPr>
          <w:rFonts w:ascii="黑体" w:eastAsia="黑体" w:hAnsi="黑体" w:hint="eastAsia"/>
          <w:sz w:val="32"/>
          <w:szCs w:val="32"/>
        </w:rPr>
        <w:lastRenderedPageBreak/>
        <w:t>四、一般公共预算“三公”经费支出情况</w:t>
      </w:r>
    </w:p>
    <w:p w:rsidR="004C3085" w:rsidRDefault="004C3085" w:rsidP="004C3085">
      <w:pPr>
        <w:spacing w:line="540" w:lineRule="exact"/>
        <w:ind w:firstLineChars="200" w:firstLine="640"/>
        <w:rPr>
          <w:rFonts w:ascii="仿宋_GB2312" w:eastAsia="仿宋_GB2312"/>
          <w:sz w:val="32"/>
          <w:szCs w:val="32"/>
        </w:rPr>
      </w:pPr>
      <w:bookmarkStart w:id="49" w:name="OLE_LINK79"/>
      <w:bookmarkStart w:id="50" w:name="OLE_LINK80"/>
      <w:r>
        <w:rPr>
          <w:rFonts w:ascii="仿宋_GB2312" w:eastAsia="仿宋_GB2312" w:hint="eastAsia"/>
          <w:sz w:val="32"/>
          <w:szCs w:val="32"/>
        </w:rPr>
        <w:t>2018年度一般公共预算“三公”经费支出决算0万元，比上年增加0万元，增长0%，增加原因是无“三公”经费支出。其中，因公出国（境）费支出0万元，占0%，比上年增加0万元，增长0%，增加（减少）原因是无“三公”经费支出；公务用车购置及运行维护费支出0万元，占0%，比上年增长0万元，增长0%，增加原因是无“三公”经费支出；公务接待费支出0万元，占0%，比上年增加0万元，增长0%，增加原因是无“三公”经费支出。具体情况如下：</w:t>
      </w:r>
    </w:p>
    <w:p w:rsidR="004C3085" w:rsidRDefault="004C3085" w:rsidP="004C3085">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因公出国（境）费支出</w:t>
      </w:r>
      <w:r>
        <w:rPr>
          <w:rFonts w:ascii="仿宋_GB2312" w:eastAsia="仿宋_GB2312"/>
          <w:sz w:val="32"/>
          <w:szCs w:val="32"/>
        </w:rPr>
        <w:t>0</w:t>
      </w:r>
      <w:r>
        <w:rPr>
          <w:rFonts w:ascii="仿宋_GB2312" w:eastAsia="仿宋_GB2312" w:hint="eastAsia"/>
          <w:color w:val="000000"/>
          <w:sz w:val="32"/>
          <w:szCs w:val="32"/>
        </w:rPr>
        <w:t>万元。</w:t>
      </w:r>
      <w:r>
        <w:rPr>
          <w:rFonts w:ascii="仿宋_GB2312" w:eastAsia="仿宋_GB2312" w:hint="eastAsia"/>
          <w:sz w:val="32"/>
          <w:szCs w:val="32"/>
        </w:rPr>
        <w:t>新疆喀什地区英吉沙县</w:t>
      </w:r>
      <w:r>
        <w:rPr>
          <w:rFonts w:ascii="仿宋_GB2312" w:eastAsia="仿宋_GB2312" w:hint="eastAsia"/>
          <w:color w:val="000000" w:themeColor="text1"/>
          <w:sz w:val="32"/>
          <w:szCs w:val="32"/>
        </w:rPr>
        <w:t>龙甫乡中</w:t>
      </w:r>
      <w:r>
        <w:rPr>
          <w:rFonts w:ascii="仿宋_GB2312" w:eastAsia="仿宋_GB2312" w:hint="eastAsia"/>
          <w:sz w:val="32"/>
          <w:szCs w:val="32"/>
        </w:rPr>
        <w:t>学</w:t>
      </w:r>
      <w:r>
        <w:rPr>
          <w:rFonts w:ascii="仿宋_GB2312" w:eastAsia="仿宋_GB2312" w:hint="eastAsia"/>
          <w:color w:val="000000"/>
          <w:sz w:val="32"/>
          <w:szCs w:val="32"/>
        </w:rPr>
        <w:t>单位</w:t>
      </w:r>
      <w:bookmarkStart w:id="51" w:name="OLE_LINK33"/>
      <w:r>
        <w:rPr>
          <w:rFonts w:ascii="仿宋_GB2312" w:eastAsia="仿宋_GB2312" w:hint="eastAsia"/>
          <w:color w:val="000000"/>
          <w:sz w:val="32"/>
          <w:szCs w:val="32"/>
        </w:rPr>
        <w:t>全年</w:t>
      </w:r>
      <w:bookmarkStart w:id="52" w:name="OLE_LINK34"/>
      <w:bookmarkStart w:id="53" w:name="OLE_LINK35"/>
      <w:bookmarkStart w:id="54" w:name="OLE_LINK36"/>
      <w:r>
        <w:rPr>
          <w:rFonts w:ascii="仿宋_GB2312" w:eastAsia="仿宋_GB2312" w:hint="eastAsia"/>
          <w:color w:val="000000"/>
          <w:sz w:val="32"/>
          <w:szCs w:val="32"/>
        </w:rPr>
        <w:t>使用一般公共预算财政拨款安排的出国（境）团组</w:t>
      </w:r>
      <w:bookmarkEnd w:id="51"/>
      <w:bookmarkEnd w:id="52"/>
      <w:bookmarkEnd w:id="53"/>
      <w:r>
        <w:rPr>
          <w:rFonts w:ascii="仿宋_GB2312" w:eastAsia="仿宋_GB2312"/>
          <w:sz w:val="32"/>
          <w:szCs w:val="32"/>
        </w:rPr>
        <w:t>0</w:t>
      </w:r>
      <w:r>
        <w:rPr>
          <w:rFonts w:ascii="仿宋_GB2312" w:eastAsia="仿宋_GB2312" w:hint="eastAsia"/>
          <w:color w:val="000000"/>
          <w:sz w:val="32"/>
          <w:szCs w:val="32"/>
        </w:rPr>
        <w:t>个</w:t>
      </w:r>
      <w:bookmarkEnd w:id="54"/>
      <w:r>
        <w:rPr>
          <w:rFonts w:ascii="仿宋_GB2312" w:eastAsia="仿宋_GB2312" w:hint="eastAsia"/>
          <w:color w:val="000000"/>
          <w:sz w:val="32"/>
          <w:szCs w:val="32"/>
        </w:rPr>
        <w:t>，</w:t>
      </w:r>
      <w:bookmarkStart w:id="55" w:name="OLE_LINK37"/>
      <w:r>
        <w:rPr>
          <w:rFonts w:ascii="仿宋_GB2312" w:eastAsia="仿宋_GB2312" w:hint="eastAsia"/>
          <w:color w:val="000000"/>
          <w:sz w:val="32"/>
          <w:szCs w:val="32"/>
        </w:rPr>
        <w:t>累计</w:t>
      </w:r>
      <w:r>
        <w:rPr>
          <w:rFonts w:ascii="仿宋_GB2312" w:eastAsia="仿宋_GB2312"/>
          <w:sz w:val="32"/>
          <w:szCs w:val="32"/>
        </w:rPr>
        <w:t>0</w:t>
      </w:r>
      <w:r>
        <w:rPr>
          <w:rFonts w:ascii="仿宋_GB2312" w:eastAsia="仿宋_GB2312" w:hint="eastAsia"/>
          <w:color w:val="000000"/>
          <w:sz w:val="32"/>
          <w:szCs w:val="32"/>
        </w:rPr>
        <w:t>人次</w:t>
      </w:r>
      <w:bookmarkEnd w:id="55"/>
      <w:r>
        <w:rPr>
          <w:rFonts w:ascii="仿宋_GB2312" w:eastAsia="仿宋_GB2312" w:hint="eastAsia"/>
          <w:color w:val="000000"/>
          <w:sz w:val="32"/>
          <w:szCs w:val="32"/>
        </w:rPr>
        <w:t>。</w:t>
      </w:r>
      <w:bookmarkStart w:id="56" w:name="OLE_LINK38"/>
      <w:r>
        <w:rPr>
          <w:rFonts w:ascii="仿宋_GB2312" w:eastAsia="仿宋_GB2312" w:hint="eastAsia"/>
          <w:color w:val="000000"/>
          <w:sz w:val="32"/>
          <w:szCs w:val="32"/>
        </w:rPr>
        <w:t>开支内容包括：无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End w:id="49"/>
      <w:bookmarkEnd w:id="50"/>
      <w:bookmarkEnd w:id="56"/>
    </w:p>
    <w:p w:rsidR="004C3085" w:rsidRDefault="004C3085" w:rsidP="004C3085">
      <w:pPr>
        <w:spacing w:line="540" w:lineRule="exact"/>
        <w:ind w:firstLineChars="200" w:firstLine="640"/>
        <w:rPr>
          <w:rFonts w:ascii="仿宋_GB2312" w:eastAsia="仿宋_GB2312"/>
          <w:color w:val="000000"/>
          <w:sz w:val="32"/>
          <w:szCs w:val="32"/>
        </w:rPr>
      </w:pPr>
      <w:bookmarkStart w:id="57" w:name="OLE_LINK81"/>
      <w:r>
        <w:rPr>
          <w:rFonts w:ascii="仿宋_GB2312" w:eastAsia="仿宋_GB2312" w:hint="eastAsia"/>
          <w:color w:val="000000"/>
          <w:sz w:val="32"/>
          <w:szCs w:val="32"/>
        </w:rPr>
        <w:t>公务用车购置及运行维护费</w:t>
      </w:r>
      <w:r>
        <w:rPr>
          <w:rFonts w:ascii="仿宋_GB2312" w:eastAsia="仿宋_GB2312"/>
          <w:sz w:val="32"/>
          <w:szCs w:val="32"/>
        </w:rPr>
        <w:t>0</w:t>
      </w:r>
      <w:r>
        <w:rPr>
          <w:rFonts w:ascii="仿宋_GB2312" w:eastAsia="仿宋_GB2312" w:hint="eastAsia"/>
          <w:color w:val="000000"/>
          <w:sz w:val="32"/>
          <w:szCs w:val="32"/>
        </w:rPr>
        <w:t>万元</w:t>
      </w:r>
      <w:r>
        <w:rPr>
          <w:rFonts w:ascii="仿宋_GB2312" w:eastAsia="仿宋_GB2312"/>
          <w:color w:val="000000"/>
          <w:sz w:val="32"/>
          <w:szCs w:val="32"/>
        </w:rPr>
        <w:t>,</w:t>
      </w:r>
      <w:r>
        <w:rPr>
          <w:rFonts w:ascii="仿宋_GB2312" w:eastAsia="仿宋_GB2312" w:hint="eastAsia"/>
          <w:color w:val="000000"/>
          <w:sz w:val="32"/>
          <w:szCs w:val="32"/>
        </w:rPr>
        <w:t>其中，</w:t>
      </w:r>
      <w:bookmarkStart w:id="58" w:name="OLE_LINK39"/>
      <w:r>
        <w:rPr>
          <w:rFonts w:ascii="仿宋_GB2312" w:eastAsia="仿宋_GB2312" w:hint="eastAsia"/>
          <w:color w:val="000000"/>
          <w:sz w:val="32"/>
          <w:szCs w:val="32"/>
        </w:rPr>
        <w:t>公务用车购置</w:t>
      </w:r>
      <w:r>
        <w:rPr>
          <w:rFonts w:ascii="仿宋_GB2312" w:eastAsia="仿宋_GB2312"/>
          <w:sz w:val="32"/>
          <w:szCs w:val="32"/>
        </w:rPr>
        <w:t>0</w:t>
      </w:r>
      <w:r>
        <w:rPr>
          <w:rFonts w:ascii="仿宋_GB2312" w:eastAsia="仿宋_GB2312" w:hint="eastAsia"/>
          <w:color w:val="000000"/>
          <w:sz w:val="32"/>
          <w:szCs w:val="32"/>
        </w:rPr>
        <w:t>万元</w:t>
      </w:r>
      <w:bookmarkEnd w:id="58"/>
      <w:r>
        <w:rPr>
          <w:rFonts w:ascii="仿宋_GB2312" w:eastAsia="仿宋_GB2312" w:hint="eastAsia"/>
          <w:color w:val="000000"/>
          <w:sz w:val="32"/>
          <w:szCs w:val="32"/>
        </w:rPr>
        <w:t>，</w:t>
      </w:r>
      <w:bookmarkStart w:id="59" w:name="OLE_LINK41"/>
      <w:bookmarkStart w:id="60" w:name="OLE_LINK40"/>
      <w:r>
        <w:rPr>
          <w:rFonts w:ascii="仿宋_GB2312" w:eastAsia="仿宋_GB2312" w:hint="eastAsia"/>
          <w:color w:val="000000"/>
          <w:sz w:val="32"/>
          <w:szCs w:val="32"/>
        </w:rPr>
        <w:t>公务用车运行维护费</w:t>
      </w:r>
      <w:r>
        <w:rPr>
          <w:rFonts w:ascii="仿宋_GB2312" w:eastAsia="仿宋_GB2312"/>
          <w:sz w:val="32"/>
          <w:szCs w:val="32"/>
        </w:rPr>
        <w:t>0</w:t>
      </w:r>
      <w:r>
        <w:rPr>
          <w:rFonts w:ascii="仿宋_GB2312" w:eastAsia="仿宋_GB2312" w:hint="eastAsia"/>
          <w:color w:val="000000"/>
          <w:sz w:val="32"/>
          <w:szCs w:val="32"/>
        </w:rPr>
        <w:t>万元</w:t>
      </w:r>
      <w:bookmarkEnd w:id="59"/>
      <w:bookmarkEnd w:id="60"/>
      <w:r>
        <w:rPr>
          <w:rFonts w:ascii="仿宋_GB2312" w:eastAsia="仿宋_GB2312" w:hint="eastAsia"/>
          <w:color w:val="000000"/>
          <w:sz w:val="32"/>
          <w:szCs w:val="32"/>
        </w:rPr>
        <w:t>。主要用于</w:t>
      </w:r>
      <w:r>
        <w:rPr>
          <w:rFonts w:ascii="仿宋_GB2312" w:eastAsia="仿宋_GB2312" w:hint="eastAsia"/>
          <w:sz w:val="32"/>
          <w:szCs w:val="32"/>
        </w:rPr>
        <w:t>无“三公”经费支出</w:t>
      </w:r>
      <w:r>
        <w:rPr>
          <w:rFonts w:ascii="仿宋_GB2312" w:eastAsia="仿宋_GB2312" w:hint="eastAsia"/>
          <w:color w:val="000000"/>
          <w:sz w:val="32"/>
          <w:szCs w:val="32"/>
        </w:rPr>
        <w:t>等。</w:t>
      </w:r>
      <w:bookmarkStart w:id="61" w:name="OLE_LINK82"/>
      <w:bookmarkEnd w:id="57"/>
      <w:r>
        <w:rPr>
          <w:rFonts w:ascii="仿宋_GB2312" w:eastAsia="仿宋_GB2312" w:hint="eastAsia"/>
          <w:color w:val="000000"/>
          <w:sz w:val="32"/>
          <w:szCs w:val="32"/>
        </w:rPr>
        <w:t>单位一般公共财政拨款安排的公务用车购置量</w:t>
      </w:r>
      <w:r>
        <w:rPr>
          <w:rFonts w:ascii="仿宋_GB2312" w:eastAsia="仿宋_GB2312"/>
          <w:sz w:val="32"/>
          <w:szCs w:val="32"/>
        </w:rPr>
        <w:t>0</w:t>
      </w:r>
      <w:r>
        <w:rPr>
          <w:rFonts w:ascii="仿宋_GB2312" w:eastAsia="仿宋_GB2312" w:hint="eastAsia"/>
          <w:color w:val="000000"/>
          <w:sz w:val="32"/>
          <w:szCs w:val="32"/>
        </w:rPr>
        <w:t>辆，保有量为</w:t>
      </w:r>
      <w:r>
        <w:rPr>
          <w:rFonts w:ascii="仿宋_GB2312" w:eastAsia="仿宋_GB2312"/>
          <w:sz w:val="32"/>
          <w:szCs w:val="32"/>
        </w:rPr>
        <w:t>0</w:t>
      </w:r>
      <w:r>
        <w:rPr>
          <w:rFonts w:ascii="仿宋_GB2312" w:eastAsia="仿宋_GB2312" w:hint="eastAsia"/>
          <w:color w:val="000000"/>
          <w:sz w:val="32"/>
          <w:szCs w:val="32"/>
        </w:rPr>
        <w:t>辆。</w:t>
      </w:r>
      <w:bookmarkEnd w:id="61"/>
    </w:p>
    <w:p w:rsidR="004C3085" w:rsidRDefault="004C3085" w:rsidP="004C3085">
      <w:pPr>
        <w:spacing w:line="540" w:lineRule="exact"/>
        <w:ind w:firstLineChars="200" w:firstLine="640"/>
        <w:rPr>
          <w:rFonts w:ascii="仿宋_GB2312" w:eastAsia="仿宋_GB2312"/>
          <w:color w:val="000000"/>
          <w:sz w:val="32"/>
          <w:szCs w:val="32"/>
        </w:rPr>
      </w:pPr>
      <w:bookmarkStart w:id="62" w:name="OLE_LINK83"/>
      <w:r>
        <w:rPr>
          <w:rFonts w:ascii="仿宋_GB2312" w:eastAsia="仿宋_GB2312" w:hint="eastAsia"/>
          <w:color w:val="000000"/>
          <w:sz w:val="32"/>
          <w:szCs w:val="32"/>
        </w:rPr>
        <w:t>公务接待费</w:t>
      </w:r>
      <w:r>
        <w:rPr>
          <w:rFonts w:ascii="仿宋_GB2312" w:eastAsia="仿宋_GB2312"/>
          <w:sz w:val="32"/>
          <w:szCs w:val="32"/>
        </w:rPr>
        <w:t>0</w:t>
      </w:r>
      <w:r>
        <w:rPr>
          <w:rFonts w:ascii="仿宋_GB2312" w:eastAsia="仿宋_GB2312" w:hint="eastAsia"/>
          <w:color w:val="000000"/>
          <w:sz w:val="32"/>
          <w:szCs w:val="32"/>
        </w:rPr>
        <w:t>万元。具体是：国内公务接待支出</w:t>
      </w:r>
      <w:r>
        <w:rPr>
          <w:rFonts w:ascii="仿宋_GB2312" w:eastAsia="仿宋_GB2312"/>
          <w:sz w:val="32"/>
          <w:szCs w:val="32"/>
        </w:rPr>
        <w:t>0</w:t>
      </w:r>
      <w:r>
        <w:rPr>
          <w:rFonts w:ascii="仿宋_GB2312" w:eastAsia="仿宋_GB2312" w:hint="eastAsia"/>
          <w:color w:val="000000"/>
          <w:sz w:val="32"/>
          <w:szCs w:val="32"/>
        </w:rPr>
        <w:t>万元，主要是</w:t>
      </w:r>
      <w:r>
        <w:rPr>
          <w:rFonts w:ascii="仿宋_GB2312" w:eastAsia="仿宋_GB2312" w:hint="eastAsia"/>
          <w:sz w:val="32"/>
          <w:szCs w:val="32"/>
        </w:rPr>
        <w:t>无“三公”经费支出</w:t>
      </w:r>
      <w:r>
        <w:rPr>
          <w:rFonts w:ascii="仿宋_GB2312" w:eastAsia="仿宋_GB2312" w:hint="eastAsia"/>
          <w:color w:val="000000"/>
          <w:sz w:val="32"/>
          <w:szCs w:val="32"/>
        </w:rPr>
        <w:t>等。</w:t>
      </w:r>
      <w:bookmarkStart w:id="63" w:name="OLE_LINK84"/>
      <w:bookmarkEnd w:id="62"/>
      <w:r>
        <w:rPr>
          <w:rFonts w:ascii="仿宋_GB2312" w:eastAsia="仿宋_GB2312" w:hint="eastAsia"/>
          <w:sz w:val="32"/>
          <w:szCs w:val="32"/>
        </w:rPr>
        <w:t>新疆喀什地区英吉沙县</w:t>
      </w:r>
      <w:r>
        <w:rPr>
          <w:rFonts w:ascii="仿宋_GB2312" w:eastAsia="仿宋_GB2312" w:hint="eastAsia"/>
          <w:color w:val="000000" w:themeColor="text1"/>
          <w:sz w:val="32"/>
          <w:szCs w:val="32"/>
        </w:rPr>
        <w:t>龙甫乡中学</w:t>
      </w:r>
      <w:r>
        <w:rPr>
          <w:rFonts w:ascii="仿宋_GB2312" w:eastAsia="仿宋_GB2312" w:hint="eastAsia"/>
          <w:color w:val="000000"/>
          <w:sz w:val="32"/>
          <w:szCs w:val="32"/>
        </w:rPr>
        <w:t>单位国内公务接待</w:t>
      </w:r>
      <w:r>
        <w:rPr>
          <w:rFonts w:ascii="仿宋_GB2312" w:eastAsia="仿宋_GB2312"/>
          <w:sz w:val="32"/>
          <w:szCs w:val="32"/>
        </w:rPr>
        <w:t>0</w:t>
      </w:r>
      <w:r>
        <w:rPr>
          <w:rFonts w:ascii="仿宋_GB2312" w:eastAsia="仿宋_GB2312" w:hint="eastAsia"/>
          <w:color w:val="000000"/>
          <w:sz w:val="32"/>
          <w:szCs w:val="32"/>
        </w:rPr>
        <w:t>批次，</w:t>
      </w:r>
      <w:r>
        <w:rPr>
          <w:rFonts w:ascii="仿宋_GB2312" w:eastAsia="仿宋_GB2312"/>
          <w:sz w:val="32"/>
          <w:szCs w:val="32"/>
        </w:rPr>
        <w:t>0</w:t>
      </w:r>
      <w:r>
        <w:rPr>
          <w:rFonts w:ascii="仿宋_GB2312" w:eastAsia="仿宋_GB2312" w:hint="eastAsia"/>
          <w:color w:val="000000"/>
          <w:sz w:val="32"/>
          <w:szCs w:val="32"/>
        </w:rPr>
        <w:t>人次。</w:t>
      </w:r>
      <w:bookmarkEnd w:id="63"/>
    </w:p>
    <w:p w:rsidR="004C3085" w:rsidRDefault="004C3085" w:rsidP="004C3085">
      <w:pPr>
        <w:spacing w:line="540" w:lineRule="exact"/>
        <w:ind w:firstLineChars="200" w:firstLine="640"/>
        <w:rPr>
          <w:rFonts w:ascii="仿宋_GB2312" w:eastAsia="仿宋_GB2312"/>
          <w:color w:val="000000"/>
          <w:sz w:val="32"/>
          <w:szCs w:val="32"/>
        </w:rPr>
      </w:pPr>
      <w:bookmarkStart w:id="64" w:name="OLE_LINK85"/>
      <w:r>
        <w:rPr>
          <w:rFonts w:ascii="仿宋_GB2312" w:eastAsia="仿宋_GB2312" w:hint="eastAsia"/>
          <w:color w:val="000000"/>
          <w:sz w:val="32"/>
          <w:szCs w:val="32"/>
        </w:rPr>
        <w:t>与年初预算数相比情况：一般公共预算“三公”经费支出年初预算数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65" w:name="OLE_LINK87"/>
      <w:bookmarkStart w:id="66" w:name="OLE_LINK86"/>
      <w:bookmarkEnd w:id="64"/>
      <w:r>
        <w:rPr>
          <w:rFonts w:ascii="仿宋_GB2312" w:eastAsia="仿宋_GB2312" w:hAnsi="宋体" w:cs="宋体" w:hint="eastAsia"/>
          <w:color w:val="000000"/>
          <w:kern w:val="0"/>
          <w:sz w:val="32"/>
          <w:szCs w:val="32"/>
        </w:rPr>
        <w:t>其中：因公出国（境）费</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67" w:name="OLE_LINK88"/>
      <w:bookmarkStart w:id="68" w:name="OLE_LINK89"/>
      <w:bookmarkEnd w:id="65"/>
      <w:bookmarkEnd w:id="66"/>
      <w:r>
        <w:rPr>
          <w:rFonts w:ascii="仿宋_GB2312" w:eastAsia="仿宋_GB2312" w:hAnsi="宋体" w:cs="宋体" w:hint="eastAsia"/>
          <w:color w:val="000000"/>
          <w:kern w:val="0"/>
          <w:sz w:val="32"/>
          <w:szCs w:val="32"/>
        </w:rPr>
        <w:t>公务用车购置</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69" w:name="OLE_LINK90"/>
      <w:bookmarkEnd w:id="67"/>
      <w:bookmarkEnd w:id="68"/>
      <w:r>
        <w:rPr>
          <w:rFonts w:ascii="仿宋_GB2312" w:eastAsia="仿宋_GB2312" w:hAnsi="宋体" w:cs="宋体" w:hint="eastAsia"/>
          <w:color w:val="000000"/>
          <w:kern w:val="0"/>
          <w:sz w:val="32"/>
          <w:szCs w:val="32"/>
        </w:rPr>
        <w:t>公务用车运行费</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sz w:val="32"/>
          <w:szCs w:val="32"/>
        </w:rPr>
        <w:lastRenderedPageBreak/>
        <w:t>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70" w:name="OLE_LINK91"/>
      <w:bookmarkEnd w:id="69"/>
      <w:r>
        <w:rPr>
          <w:rFonts w:ascii="仿宋_GB2312" w:eastAsia="仿宋_GB2312" w:hAnsi="宋体" w:cs="宋体" w:hint="eastAsia"/>
          <w:color w:val="000000"/>
          <w:kern w:val="0"/>
          <w:sz w:val="32"/>
          <w:szCs w:val="32"/>
        </w:rPr>
        <w:t>公务接待费</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w:t>
      </w:r>
      <w:bookmarkEnd w:id="70"/>
      <w:r>
        <w:rPr>
          <w:rFonts w:ascii="仿宋_GB2312" w:eastAsia="仿宋_GB2312" w:hint="eastAsia"/>
          <w:color w:val="000000"/>
          <w:sz w:val="32"/>
          <w:szCs w:val="32"/>
        </w:rPr>
        <w:t>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p>
    <w:p w:rsidR="004C3085" w:rsidRDefault="004C3085" w:rsidP="004C3085">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4C3085" w:rsidRDefault="004C3085" w:rsidP="004C3085">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新疆喀什地区英吉沙县</w:t>
      </w:r>
      <w:r>
        <w:rPr>
          <w:rFonts w:ascii="仿宋_GB2312" w:eastAsia="仿宋_GB2312" w:hint="eastAsia"/>
          <w:color w:val="000000" w:themeColor="text1"/>
          <w:sz w:val="32"/>
          <w:szCs w:val="32"/>
        </w:rPr>
        <w:t>龙甫乡中学</w:t>
      </w:r>
      <w:r>
        <w:rPr>
          <w:rFonts w:ascii="仿宋_GB2312" w:eastAsia="仿宋_GB2312" w:hint="eastAsia"/>
          <w:color w:val="000000"/>
          <w:sz w:val="32"/>
          <w:szCs w:val="32"/>
        </w:rPr>
        <w:t>（</w:t>
      </w:r>
      <w:r>
        <w:rPr>
          <w:rFonts w:ascii="仿宋_GB2312" w:eastAsia="仿宋_GB2312" w:hint="eastAsia"/>
          <w:sz w:val="32"/>
          <w:szCs w:val="32"/>
        </w:rPr>
        <w:t>行政单位和参照公务员法管理事业单位）机关运行经费支出0万元，比上年增加0万元，增长0%，主要原因是</w:t>
      </w:r>
      <w:proofErr w:type="gramStart"/>
      <w:r>
        <w:rPr>
          <w:rFonts w:ascii="仿宋_GB2312" w:eastAsia="仿宋_GB2312" w:hint="eastAsia"/>
          <w:sz w:val="32"/>
          <w:szCs w:val="32"/>
        </w:rPr>
        <w:t>无机关</w:t>
      </w:r>
      <w:proofErr w:type="gramEnd"/>
      <w:r>
        <w:rPr>
          <w:rFonts w:ascii="仿宋_GB2312" w:eastAsia="仿宋_GB2312" w:hint="eastAsia"/>
          <w:sz w:val="32"/>
          <w:szCs w:val="32"/>
        </w:rPr>
        <w:t>运行经费支出。</w:t>
      </w:r>
    </w:p>
    <w:p w:rsidR="00C9538D" w:rsidRPr="004C3085" w:rsidRDefault="004C3085" w:rsidP="004C3085">
      <w:pPr>
        <w:spacing w:line="540" w:lineRule="exact"/>
        <w:ind w:firstLineChars="200" w:firstLine="640"/>
        <w:rPr>
          <w:rFonts w:ascii="仿宋_GB2312" w:eastAsia="仿宋_GB2312"/>
          <w:sz w:val="32"/>
          <w:szCs w:val="32"/>
        </w:rPr>
      </w:pPr>
      <w:r>
        <w:rPr>
          <w:rFonts w:ascii="仿宋_GB2312" w:eastAsia="仿宋_GB2312" w:hint="eastAsia"/>
          <w:color w:val="000000"/>
          <w:sz w:val="32"/>
          <w:szCs w:val="32"/>
        </w:rPr>
        <w:t>新疆喀什地区英吉沙县</w:t>
      </w:r>
      <w:r>
        <w:rPr>
          <w:rFonts w:ascii="仿宋_GB2312" w:eastAsia="仿宋_GB2312" w:hint="eastAsia"/>
          <w:color w:val="000000" w:themeColor="text1"/>
          <w:sz w:val="32"/>
          <w:szCs w:val="32"/>
        </w:rPr>
        <w:t>龙甫乡中学</w:t>
      </w:r>
      <w:r>
        <w:rPr>
          <w:rFonts w:ascii="仿宋_GB2312" w:eastAsia="仿宋_GB2312" w:hint="eastAsia"/>
          <w:color w:val="000000"/>
          <w:sz w:val="32"/>
          <w:szCs w:val="32"/>
        </w:rPr>
        <w:t>日常公用经费</w:t>
      </w:r>
      <w:r>
        <w:rPr>
          <w:rFonts w:ascii="仿宋_GB2312" w:eastAsia="仿宋_GB2312"/>
          <w:color w:val="000000"/>
          <w:sz w:val="32"/>
          <w:szCs w:val="32"/>
        </w:rPr>
        <w:t>0</w:t>
      </w:r>
      <w:r>
        <w:rPr>
          <w:rFonts w:ascii="仿宋_GB2312" w:eastAsia="仿宋_GB2312" w:hint="eastAsia"/>
          <w:color w:val="000000"/>
          <w:sz w:val="32"/>
          <w:szCs w:val="32"/>
        </w:rPr>
        <w:t>万元，</w:t>
      </w:r>
      <w:r>
        <w:rPr>
          <w:rFonts w:ascii="仿宋_GB2312" w:eastAsia="仿宋_GB2312" w:hint="eastAsia"/>
          <w:sz w:val="32"/>
          <w:szCs w:val="32"/>
        </w:rPr>
        <w:t>比上年增加0万元，增长0%，主要原因是</w:t>
      </w:r>
      <w:r>
        <w:rPr>
          <w:rFonts w:ascii="仿宋_GB2312" w:eastAsia="仿宋_GB2312" w:hint="eastAsia"/>
          <w:color w:val="000000"/>
          <w:sz w:val="32"/>
          <w:szCs w:val="32"/>
        </w:rPr>
        <w:t>无日常公用经费支出</w:t>
      </w:r>
      <w:r>
        <w:rPr>
          <w:rFonts w:ascii="仿宋_GB2312" w:eastAsia="仿宋_GB2312" w:hint="eastAsia"/>
          <w:sz w:val="32"/>
          <w:szCs w:val="32"/>
        </w:rPr>
        <w:t>。</w:t>
      </w:r>
    </w:p>
    <w:p w:rsidR="00C9538D" w:rsidRDefault="004C3085">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C9538D" w:rsidRDefault="004C3085">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71" w:name="OLE_LINK45"/>
      <w:r>
        <w:rPr>
          <w:rFonts w:ascii="仿宋_GB2312" w:eastAsia="仿宋_GB2312" w:hint="eastAsia"/>
          <w:color w:val="000000" w:themeColor="text1"/>
          <w:sz w:val="32"/>
          <w:szCs w:val="32"/>
        </w:rPr>
        <w:t>政府采购支出总额</w:t>
      </w:r>
      <w:bookmarkEnd w:id="71"/>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72" w:name="OLE_LINK46"/>
      <w:r>
        <w:rPr>
          <w:rFonts w:ascii="仿宋_GB2312" w:eastAsia="仿宋_GB2312" w:hint="eastAsia"/>
          <w:color w:val="000000" w:themeColor="text1"/>
          <w:sz w:val="32"/>
          <w:szCs w:val="32"/>
        </w:rPr>
        <w:t>政府采购货物支出</w:t>
      </w:r>
      <w:bookmarkEnd w:id="72"/>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73" w:name="OLE_LINK47"/>
      <w:r>
        <w:rPr>
          <w:rFonts w:ascii="仿宋_GB2312" w:eastAsia="仿宋_GB2312" w:hint="eastAsia"/>
          <w:color w:val="000000" w:themeColor="text1"/>
          <w:sz w:val="32"/>
          <w:szCs w:val="32"/>
        </w:rPr>
        <w:t>政府采购工程支出</w:t>
      </w:r>
      <w:bookmarkEnd w:id="73"/>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74" w:name="OLE_LINK48"/>
      <w:r>
        <w:rPr>
          <w:rFonts w:ascii="仿宋_GB2312" w:eastAsia="仿宋_GB2312" w:hint="eastAsia"/>
          <w:color w:val="000000" w:themeColor="text1"/>
          <w:sz w:val="32"/>
          <w:szCs w:val="32"/>
        </w:rPr>
        <w:t>政府采购服务支出</w:t>
      </w:r>
      <w:bookmarkEnd w:id="74"/>
      <w:r>
        <w:rPr>
          <w:rFonts w:ascii="仿宋_GB2312" w:eastAsia="仿宋_GB2312" w:hint="eastAsia"/>
          <w:sz w:val="32"/>
          <w:szCs w:val="32"/>
        </w:rPr>
        <w:t>0</w:t>
      </w:r>
      <w:r>
        <w:rPr>
          <w:rFonts w:ascii="仿宋_GB2312" w:eastAsia="仿宋_GB2312" w:hint="eastAsia"/>
          <w:color w:val="000000" w:themeColor="text1"/>
          <w:sz w:val="32"/>
          <w:szCs w:val="32"/>
        </w:rPr>
        <w:t>万元。</w:t>
      </w:r>
    </w:p>
    <w:p w:rsidR="00C9538D" w:rsidRDefault="004C3085">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C9538D" w:rsidRDefault="004C3085">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C9538D" w:rsidRDefault="004C3085">
      <w:pPr>
        <w:spacing w:line="540" w:lineRule="exact"/>
        <w:ind w:firstLineChars="200" w:firstLine="640"/>
        <w:rPr>
          <w:rFonts w:ascii="仿宋_GB2312" w:eastAsia="仿宋_GB2312"/>
          <w:color w:val="000000" w:themeColor="text1"/>
          <w:sz w:val="32"/>
          <w:szCs w:val="32"/>
        </w:rPr>
      </w:pPr>
      <w:bookmarkStart w:id="75"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无公务用车；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75"/>
    </w:p>
    <w:p w:rsidR="00C9538D" w:rsidRDefault="004C3085">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w:t>
      </w:r>
      <w:r>
        <w:rPr>
          <w:rFonts w:ascii="仿宋_GB2312" w:eastAsia="仿宋_GB2312"/>
          <w:sz w:val="32"/>
          <w:szCs w:val="32"/>
        </w:rPr>
        <w:lastRenderedPageBreak/>
        <w:t>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龙甫乡中学2018年度部门预算总额为21.85万元，执行金额为21.85万元，预算执行率为100%。本次自评共涉及项目数3个，其中已完成项目3个、未完成项目0个，项目总体完成率为100%，各项目支出管理过程较为规范，预期绩效目标完成情况良好。通过本次自评全面总结了项目实施过程中的经验及不足，为2019年度预算绩效管理工作开展奠定基础。</w:t>
      </w:r>
    </w:p>
    <w:p w:rsidR="00C9538D" w:rsidRDefault="004C3085">
      <w:pPr>
        <w:spacing w:line="540" w:lineRule="exact"/>
        <w:ind w:left="-1" w:right="-1" w:firstLine="646"/>
        <w:jc w:val="left"/>
      </w:pPr>
      <w:r>
        <w:rPr>
          <w:rFonts w:ascii="仿宋_GB2312" w:eastAsia="仿宋_GB2312" w:hAnsi="仿宋_GB2312" w:cs="仿宋_GB2312"/>
          <w:color w:val="000000"/>
          <w:sz w:val="32"/>
        </w:rPr>
        <w:t>1、义务教育阶段学校班主任津贴项目绩效自评综述：根据年初设定的绩效目标，该项目绩效自评得分为95分。项目全年预算数为6.12万元，执行数为6.12万元，完成预算的100%。主要产出和效果：有效</w:t>
      </w:r>
      <w:r>
        <w:rPr>
          <w:rFonts w:ascii="仿宋_GB2312" w:eastAsia="仿宋_GB2312" w:hAnsi="仿宋_GB2312" w:cs="仿宋_GB2312" w:hint="eastAsia"/>
          <w:color w:val="000000"/>
          <w:sz w:val="32"/>
        </w:rPr>
        <w:t>稳固</w:t>
      </w:r>
      <w:r>
        <w:rPr>
          <w:rFonts w:ascii="仿宋_GB2312" w:eastAsia="仿宋_GB2312" w:hAnsi="仿宋_GB2312" w:cs="仿宋_GB2312"/>
          <w:color w:val="000000"/>
          <w:sz w:val="32"/>
        </w:rPr>
        <w:t>师资队伍，维持学校日常管理秩序，提升学生管理水准发现的问题及原因：无特别说明问题下一步改进措施： 暂无改进计划</w:t>
      </w:r>
    </w:p>
    <w:p w:rsidR="00C9538D" w:rsidRDefault="004C3085">
      <w:pPr>
        <w:spacing w:line="540" w:lineRule="exact"/>
        <w:ind w:left="-1" w:right="-1" w:firstLine="646"/>
        <w:jc w:val="left"/>
      </w:pPr>
      <w:r>
        <w:rPr>
          <w:rFonts w:ascii="仿宋_GB2312" w:eastAsia="仿宋_GB2312" w:hAnsi="仿宋_GB2312" w:cs="仿宋_GB2312"/>
          <w:color w:val="000000"/>
          <w:sz w:val="32"/>
        </w:rPr>
        <w:t>2、农村义务教育学生营养改善计划国家试点县市补助资金项目绩效自评综述：根据年初设定的绩效目标，该项目绩效自评得分为95分。项目全年预算数为6.3万元，执行数为6.3万元，完成预算的100%。主要产出和效果：为义务教育阶段中小学生提供营养美味的膳食，保证学生健康成长发现的问题及原因：无特别说明问题下一步改进措施： 暂无改进计划</w:t>
      </w:r>
    </w:p>
    <w:p w:rsidR="00C9538D" w:rsidRDefault="004C3085">
      <w:pPr>
        <w:spacing w:line="540" w:lineRule="exact"/>
        <w:ind w:left="-1" w:right="-1" w:firstLine="646"/>
        <w:jc w:val="left"/>
      </w:pPr>
      <w:r>
        <w:rPr>
          <w:rFonts w:ascii="仿宋_GB2312" w:eastAsia="仿宋_GB2312" w:hAnsi="仿宋_GB2312" w:cs="仿宋_GB2312"/>
          <w:color w:val="000000"/>
          <w:sz w:val="32"/>
        </w:rPr>
        <w:lastRenderedPageBreak/>
        <w:t>3、农村义务教育经费保障机制公用经费补助资金项目绩效自评综述：根据年初设定的绩效目标，该项目绩效自评得分为95分。项目全年预算数为9.43万元，执行数为9.43万元，完成预算的100%。主要产出和效果：保障义务教育阶段学校正常运转，为义务教育阶段学生提供有益的学习生活环境发现的问题及原因：无特别说明问题下一步改进措施： 暂无改进计划</w:t>
      </w:r>
    </w:p>
    <w:p w:rsidR="00C9538D" w:rsidRDefault="004C308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C9538D" w:rsidRDefault="004C3085">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w:t>
      </w:r>
      <w:r>
        <w:rPr>
          <w:rFonts w:ascii="仿宋_GB2312" w:eastAsia="仿宋_GB2312" w:hint="eastAsia"/>
          <w:sz w:val="32"/>
          <w:szCs w:val="32"/>
        </w:rPr>
        <w:lastRenderedPageBreak/>
        <w:t>弥补以后年度收支差额的基金）弥补本年度收支缺口的资金。</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C9538D" w:rsidRDefault="004C3085">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w:t>
      </w:r>
      <w:r>
        <w:rPr>
          <w:rFonts w:ascii="仿宋_GB2312" w:eastAsia="仿宋_GB2312" w:hint="eastAsia"/>
          <w:sz w:val="32"/>
          <w:szCs w:val="32"/>
        </w:rPr>
        <w:lastRenderedPageBreak/>
        <w:t>待）支出。</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9538D" w:rsidRDefault="004C3085">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205（类）02（款）99（项）指：其他普通教育支出。205（类）02（款）03（项）指：初中教育。208（类）05（款）05（项）指：机关事业单位基本养老保险缴费支出。</w:t>
      </w:r>
    </w:p>
    <w:p w:rsidR="00C9538D" w:rsidRDefault="004C3085">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C9538D" w:rsidRDefault="00C9538D">
      <w:pPr>
        <w:spacing w:line="540" w:lineRule="exact"/>
        <w:ind w:firstLineChars="200" w:firstLine="643"/>
        <w:rPr>
          <w:rFonts w:ascii="仿宋_GB2312" w:eastAsia="仿宋_GB2312"/>
          <w:b/>
          <w:sz w:val="32"/>
          <w:szCs w:val="32"/>
        </w:rPr>
      </w:pPr>
    </w:p>
    <w:p w:rsidR="00C9538D" w:rsidRDefault="004C3085">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C9538D" w:rsidRDefault="004C3085">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C9538D" w:rsidRDefault="004C3085">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C9538D" w:rsidRDefault="00C9538D">
      <w:pPr>
        <w:spacing w:line="540" w:lineRule="exact"/>
        <w:ind w:firstLineChars="200" w:firstLine="640"/>
        <w:rPr>
          <w:rFonts w:ascii="仿宋_GB2312" w:eastAsia="仿宋_GB2312"/>
          <w:sz w:val="32"/>
          <w:szCs w:val="32"/>
        </w:rPr>
      </w:pPr>
    </w:p>
    <w:p w:rsidR="00C9538D" w:rsidRDefault="00C9538D">
      <w:pPr>
        <w:spacing w:line="540" w:lineRule="exact"/>
        <w:ind w:firstLineChars="200" w:firstLine="640"/>
        <w:rPr>
          <w:rFonts w:ascii="仿宋_GB2312" w:eastAsia="仿宋_GB2312"/>
          <w:sz w:val="32"/>
          <w:szCs w:val="32"/>
        </w:rPr>
      </w:pPr>
    </w:p>
    <w:p w:rsidR="00C9538D" w:rsidRDefault="00C9538D">
      <w:pPr>
        <w:spacing w:line="540" w:lineRule="exact"/>
        <w:ind w:firstLineChars="200" w:firstLine="640"/>
        <w:rPr>
          <w:rFonts w:ascii="仿宋_GB2312" w:eastAsia="仿宋_GB2312"/>
          <w:sz w:val="32"/>
          <w:szCs w:val="32"/>
        </w:rPr>
      </w:pPr>
    </w:p>
    <w:p w:rsidR="00C9538D" w:rsidRDefault="00C9538D">
      <w:pPr>
        <w:spacing w:line="540" w:lineRule="exact"/>
        <w:rPr>
          <w:rFonts w:ascii="仿宋_GB2312" w:eastAsia="仿宋_GB2312"/>
          <w:sz w:val="32"/>
          <w:szCs w:val="32"/>
        </w:rPr>
      </w:pPr>
    </w:p>
    <w:p w:rsidR="00C9538D" w:rsidRDefault="00C9538D">
      <w:pPr>
        <w:spacing w:line="540" w:lineRule="exact"/>
        <w:ind w:firstLineChars="200" w:firstLine="640"/>
        <w:rPr>
          <w:rFonts w:ascii="仿宋_GB2312" w:eastAsia="仿宋_GB2312"/>
          <w:sz w:val="32"/>
          <w:szCs w:val="32"/>
        </w:rPr>
      </w:pPr>
    </w:p>
    <w:p w:rsidR="00C9538D" w:rsidRDefault="004C3085">
      <w:pPr>
        <w:spacing w:line="540" w:lineRule="exact"/>
        <w:ind w:firstLineChars="1000" w:firstLine="3200"/>
        <w:jc w:val="center"/>
        <w:rPr>
          <w:rFonts w:ascii="仿宋_GB2312" w:eastAsia="仿宋_GB2312"/>
          <w:sz w:val="32"/>
          <w:szCs w:val="32"/>
        </w:rPr>
      </w:pPr>
      <w:r>
        <w:rPr>
          <w:rFonts w:ascii="仿宋_GB2312" w:eastAsia="仿宋_GB2312"/>
          <w:sz w:val="32"/>
          <w:szCs w:val="32"/>
        </w:rPr>
        <w:t>英吉沙县龙甫乡中学</w:t>
      </w:r>
    </w:p>
    <w:p w:rsidR="00C9538D" w:rsidRDefault="004C3085">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2019年8月15日</w:t>
      </w:r>
    </w:p>
    <w:p w:rsidR="00C9538D" w:rsidRDefault="00C9538D">
      <w:pPr>
        <w:spacing w:line="540" w:lineRule="exact"/>
        <w:ind w:firstLineChars="200" w:firstLine="640"/>
        <w:rPr>
          <w:rFonts w:ascii="仿宋_GB2312" w:eastAsia="仿宋_GB2312"/>
          <w:sz w:val="32"/>
          <w:szCs w:val="32"/>
        </w:rPr>
        <w:sectPr w:rsidR="00C9538D">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p>
    <w:p w:rsidR="00C9538D" w:rsidRDefault="00C9538D">
      <w:pPr>
        <w:spacing w:line="540" w:lineRule="exact"/>
        <w:rPr>
          <w:rFonts w:ascii="仿宋_GB2312" w:eastAsia="仿宋_GB2312"/>
          <w:sz w:val="32"/>
          <w:szCs w:val="32"/>
        </w:rPr>
      </w:pPr>
    </w:p>
    <w:sectPr w:rsidR="00C953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0AC" w:rsidRDefault="008900AC">
      <w:r>
        <w:separator/>
      </w:r>
    </w:p>
  </w:endnote>
  <w:endnote w:type="continuationSeparator" w:id="0">
    <w:p w:rsidR="008900AC" w:rsidRDefault="0089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8D" w:rsidRDefault="004C3085">
    <w:pPr>
      <w:pStyle w:val="a6"/>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C9538D" w:rsidRDefault="00C9538D">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8D" w:rsidRDefault="004C3085">
    <w:pPr>
      <w:pStyle w:val="a6"/>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9967D6">
      <w:rPr>
        <w:rStyle w:val="a8"/>
        <w:rFonts w:ascii="宋体" w:eastAsia="宋体" w:hAnsi="宋体"/>
        <w:noProof/>
        <w:sz w:val="28"/>
      </w:rPr>
      <w:t>- 2 -</w:t>
    </w:r>
    <w:r>
      <w:rPr>
        <w:rStyle w:val="a8"/>
        <w:rFonts w:ascii="宋体" w:eastAsia="宋体" w:hAnsi="宋体"/>
        <w:sz w:val="28"/>
      </w:rPr>
      <w:fldChar w:fldCharType="end"/>
    </w:r>
    <w:r>
      <w:rPr>
        <w:rStyle w:val="a8"/>
        <w:rFonts w:ascii="宋体" w:eastAsia="宋体" w:hAnsi="宋体" w:hint="eastAsia"/>
        <w:sz w:val="28"/>
      </w:rPr>
      <w:t xml:space="preserve"> </w:t>
    </w:r>
  </w:p>
  <w:p w:rsidR="00C9538D" w:rsidRDefault="00C9538D">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0AC" w:rsidRDefault="008900AC">
      <w:r>
        <w:separator/>
      </w:r>
    </w:p>
  </w:footnote>
  <w:footnote w:type="continuationSeparator" w:id="0">
    <w:p w:rsidR="008900AC" w:rsidRDefault="00890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96DFE"/>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085"/>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00A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967D6"/>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9538D"/>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642637"/>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BF5B5E"/>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qFormat/>
    <w:pPr>
      <w:tabs>
        <w:tab w:val="center" w:pos="4153"/>
        <w:tab w:val="right" w:pos="8306"/>
      </w:tabs>
      <w:snapToGrid w:val="0"/>
      <w:jc w:val="left"/>
    </w:pPr>
    <w:rPr>
      <w:rFonts w:eastAsia="黑体"/>
      <w:snapToGrid w:val="0"/>
      <w:kern w:val="0"/>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2">
    <w:name w:val="页脚 Char"/>
    <w:basedOn w:val="a0"/>
    <w:link w:val="a6"/>
    <w:qFormat/>
    <w:rPr>
      <w:rFonts w:ascii="Times New Roman" w:eastAsia="黑体" w:hAnsi="Times New Roman" w:cs="Times New Roman"/>
      <w:snapToGrid w:val="0"/>
      <w:kern w:val="0"/>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3">
    <w:name w:val="页眉 Char"/>
    <w:basedOn w:val="a0"/>
    <w:link w:val="a7"/>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927</Words>
  <Characters>5284</Characters>
  <Application>Microsoft Office Word</Application>
  <DocSecurity>0</DocSecurity>
  <Lines>44</Lines>
  <Paragraphs>12</Paragraphs>
  <ScaleCrop>false</ScaleCrop>
  <Company>Microsoft</Company>
  <LinksUpToDate>false</LinksUpToDate>
  <CharactersWithSpaces>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813</cp:revision>
  <dcterms:created xsi:type="dcterms:W3CDTF">2019-05-30T09:42:00Z</dcterms:created>
  <dcterms:modified xsi:type="dcterms:W3CDTF">2021-06-07T09:52:00Z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